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9/9/2025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Examined possible cost/benefit situations given the usage of API’s for AI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table with said information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may apply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Stored the inputs taken from the user in separate variables.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“Submit” button now redirects to the Results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on the structure of the Results page.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Search for SVGs or other visual component to be added to the Results page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the feedback template on one sample resume.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Noted</w:t>
      </w:r>
      <w:r w:rsidDel="00000000" w:rsidR="00000000" w:rsidRPr="00000000">
        <w:rPr>
          <w:rtl w:val="0"/>
        </w:rPr>
        <w:t xml:space="preserve"> which categories worked well (keywords, grammar) and which need improvement (formatting).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the template to make formatting feedback clearer.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a second sample resume for consistency.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feedback stays simple and doesn’t overwhelm the applicant.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Progressed with the outline and trialing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Messing with different settings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once again with the outlining and trialing of different text parser options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Properly trialing and bug testing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2.5 hours.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a new method to grab the job post’s description.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 and test the new method of grabbing the job post’s description.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currently.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